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ông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bố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Danh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mục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thủ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tục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hành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chính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được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sửa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đổi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bổ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sung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trong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lĩnh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vực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Hộ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tịch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thuộc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thẩm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quyền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giải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quyết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của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Sở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Tư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pháp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/UBND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cấp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huyện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/UBND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cấp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xã</w:t>
      </w:r>
      <w:proofErr w:type="spellEnd"/>
    </w:p>
    <w:bookmarkEnd w:id="0"/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UBND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tỉnh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vừa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901/QĐ-UBND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24/4/2023 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bố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danh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mục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15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hành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chính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(TTHC)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được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sửa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đổi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bổ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sung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trong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lĩnh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thuộc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thẩm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quyền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giải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quyết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Ủy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ban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cấp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huyện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; 20 TTHC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được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sửa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đổi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bổ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sung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trong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lĩnh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thuộc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thẩm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quyền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giải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quyết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Ủy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ban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cấp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xã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; 01 TTHC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được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sửa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đổi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bổ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sung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trong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lĩnh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thuộc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thẩm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quyền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giải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quyết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quản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lý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cơ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sở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dữ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liệu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điện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Cụ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thể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như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sau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:</w:t>
      </w:r>
    </w:p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pacing w:val="-2"/>
          <w:sz w:val="20"/>
          <w:szCs w:val="20"/>
          <w:bdr w:val="none" w:sz="0" w:space="0" w:color="auto" w:frame="1"/>
        </w:rPr>
        <w:t>DANH MỤC THỦ TỤC HÀNH CHÍNH ĐƯỢC SỬA ĐỔI, BỔ SUNG TRONG LĨNH VỰC HỘ TỊCH </w:t>
      </w:r>
      <w:r>
        <w:rPr>
          <w:rFonts w:ascii="inherit" w:hAnsi="inherit" w:cs="Arial"/>
          <w:b/>
          <w:bCs/>
          <w:color w:val="000000"/>
          <w:spacing w:val="-4"/>
          <w:sz w:val="20"/>
          <w:szCs w:val="20"/>
          <w:bdr w:val="none" w:sz="0" w:space="0" w:color="auto" w:frame="1"/>
        </w:rPr>
        <w:t>THỰC HIỆN TẠI CƠ QUAN QUẢN LÝ CƠ SỞ DỮ LIỆU HỘ TỊCH ĐIỆN TỬ: 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thông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tin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  <w:bdr w:val="none" w:sz="0" w:space="0" w:color="auto" w:frame="1"/>
        </w:rPr>
        <w:t> </w:t>
      </w:r>
    </w:p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DANH MỤC THỦ TỤC HÀNH CHÍNH ĐƯỢC SỬA ĐỔI, BỔ SUNG THUỘC THẨM QUYỀN GIẢI QUYẾT CỦA UBND CẤP HUYỆN: 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con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đãng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hợp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ðãng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con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chấm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dứt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thay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đổi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cải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chính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bổ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sung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thông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tin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tộc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ghi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vào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Sổ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Nam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đã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được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giải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quyết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quyền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ghi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vào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Sổ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hủy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Nam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đã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được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giải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quyết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quyền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ghi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vào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Sổ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khác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công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Việt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Nam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đã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được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giải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quyết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thẩm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quyền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của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con;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con;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nuôi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con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nuôi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thay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đổi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);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người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đã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hồ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giấy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tờ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</w:p>
    <w:p w:rsidR="00A20D24" w:rsidRDefault="00A20D24" w:rsidP="00A20D24">
      <w:pPr>
        <w:pStyle w:val="NormalWeb"/>
        <w:shd w:val="clear" w:color="auto" w:fill="FFFFFF"/>
        <w:spacing w:before="0" w:beforeAutospacing="0" w:after="0" w:afterAutospacing="0" w:line="254" w:lineRule="atLeast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pacing w:val="-4"/>
          <w:sz w:val="20"/>
          <w:szCs w:val="20"/>
          <w:bdr w:val="none" w:sz="0" w:space="0" w:color="auto" w:frame="1"/>
        </w:rPr>
        <w:t>DANH MỤC THỦ TỤC HÀNH CHÍNH ĐƯỢC SỬA ĐỔI, BỔ SUNG THUỘC THẨM QUYỀN GIẢI QUYẾT CỦA UBND CẤP XÃ:</w:t>
      </w:r>
      <w:r>
        <w:rPr>
          <w:rFonts w:ascii="inherit" w:hAnsi="inherit" w:cs="Arial"/>
          <w:color w:val="000000"/>
          <w:spacing w:val="-4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, con;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hợp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, con;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lưu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động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lưu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động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lưu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động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biên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giới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biên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giới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cha,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mẹ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con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biên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giới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yếu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tố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nước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ngoài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khu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vực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biên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giới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chấm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dứt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giám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thay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đổi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cải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chính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bổ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sung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thông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tin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hộ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cấp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Giấy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xác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nhận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tình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trạng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cho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người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đã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có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hồ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sơ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giấy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tờ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cá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nhân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kết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hôn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; 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Thủ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tục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đăng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ký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lại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khai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tử</w:t>
      </w:r>
      <w:proofErr w:type="spellEnd"/>
      <w:r>
        <w:rPr>
          <w:rFonts w:ascii="Arial" w:hAnsi="Arial" w:cs="Arial"/>
          <w:color w:val="000000"/>
          <w:spacing w:val="-4"/>
          <w:sz w:val="20"/>
          <w:szCs w:val="20"/>
          <w:bdr w:val="none" w:sz="0" w:space="0" w:color="auto" w:frame="1"/>
        </w:rPr>
        <w:t>.</w:t>
      </w:r>
    </w:p>
    <w:p w:rsidR="002F4802" w:rsidRDefault="002F4802"/>
    <w:sectPr w:rsidR="002F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4"/>
    <w:rsid w:val="002F4802"/>
    <w:rsid w:val="00A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2023-04-26T03:03:00Z</dcterms:created>
  <dcterms:modified xsi:type="dcterms:W3CDTF">2023-04-26T03:04:00Z</dcterms:modified>
</cp:coreProperties>
</file>